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992"/>
        <w:gridCol w:w="2285"/>
        <w:gridCol w:w="5937"/>
        <w:gridCol w:w="248"/>
      </w:tblGrid>
      <w:tr w:rsidR="00C70BBD" w:rsidRPr="00C70BBD" w:rsidTr="00C70BBD">
        <w:trPr>
          <w:trHeight w:val="255"/>
        </w:trPr>
        <w:tc>
          <w:tcPr>
            <w:tcW w:w="1418"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Level</w:t>
            </w:r>
          </w:p>
        </w:tc>
        <w:tc>
          <w:tcPr>
            <w:tcW w:w="992"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p>
        </w:tc>
        <w:tc>
          <w:tcPr>
            <w:tcW w:w="2285"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Provinsi Papua</w:t>
            </w:r>
          </w:p>
        </w:tc>
        <w:tc>
          <w:tcPr>
            <w:tcW w:w="59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255"/>
        </w:trPr>
        <w:tc>
          <w:tcPr>
            <w:tcW w:w="1418"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Komponen</w:t>
            </w:r>
          </w:p>
        </w:tc>
        <w:tc>
          <w:tcPr>
            <w:tcW w:w="992"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p>
        </w:tc>
        <w:tc>
          <w:tcPr>
            <w:tcW w:w="8222"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A. Hukum dan Kebijakan</w:t>
            </w:r>
          </w:p>
        </w:tc>
        <w:tc>
          <w:tcPr>
            <w:tcW w:w="248" w:type="dxa"/>
            <w:tcBorders>
              <w:top w:val="nil"/>
              <w:left w:val="nil"/>
              <w:bottom w:val="nil"/>
              <w:right w:val="nil"/>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255"/>
        </w:trPr>
        <w:tc>
          <w:tcPr>
            <w:tcW w:w="1418"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285"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5937"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255"/>
        </w:trPr>
        <w:tc>
          <w:tcPr>
            <w:tcW w:w="2410"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Isu dalam PGA REDD+</w:t>
            </w:r>
          </w:p>
        </w:tc>
        <w:tc>
          <w:tcPr>
            <w:tcW w:w="8222"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00"/>
        </w:trPr>
        <w:tc>
          <w:tcPr>
            <w:tcW w:w="1418"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992"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8470"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a. Keberadaan dan komprehensiveness dokumen yang mengatur transparansi penyusunan perencanaan kehutanan dan Rencana Tata Ruang dan Rencana Wilayah (RTRW) </w:t>
            </w:r>
          </w:p>
        </w:tc>
      </w:tr>
      <w:tr w:rsidR="00C70BBD" w:rsidRPr="00C70BBD" w:rsidTr="00C70BBD">
        <w:trPr>
          <w:trHeight w:val="975"/>
        </w:trPr>
        <w:tc>
          <w:tcPr>
            <w:tcW w:w="2410"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Objek Analisis</w:t>
            </w:r>
          </w:p>
        </w:tc>
        <w:tc>
          <w:tcPr>
            <w:tcW w:w="8470"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Undang-Undang, Perdokumen Pemerintah, Perdokumen Presiden, Keputusan Presiden, Instruksi Presiden, Perdokumen Menteri, Keputusan Menteri, Perdokumen Gubernur, Perdokumen Daerah atau perdokumen yang bersifat teknis</w:t>
            </w:r>
          </w:p>
        </w:tc>
      </w:tr>
    </w:tbl>
    <w:p w:rsidR="00D74DB4" w:rsidRDefault="00D74DB4"/>
    <w:tbl>
      <w:tblPr>
        <w:tblW w:w="4953" w:type="pct"/>
        <w:tblInd w:w="103" w:type="dxa"/>
        <w:tblLook w:val="04A0"/>
      </w:tblPr>
      <w:tblGrid>
        <w:gridCol w:w="1139"/>
        <w:gridCol w:w="2127"/>
        <w:gridCol w:w="1337"/>
        <w:gridCol w:w="4623"/>
        <w:gridCol w:w="1659"/>
      </w:tblGrid>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AIa1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Data/informasi pembuatan RTRW</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data/informasi yang dipergunakan dalam pembuatan RTRW dan kehutanan baru mendapat Persetujuan Substansi &amp; Sedang Proses  Kehutanan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AIa2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Informasi rencana pembentukan RTRW(P)</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informasi rencana pembentukan RTRW(P)</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AIa3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Pengumuman usulan perubahan peruntukan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pengumuman usulan perubahan peruntukan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AIa4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Kejelasan informasi  yang dapat diakses berdasarkan uji konsekuensi</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kejelasan informasi yang dapat diakses</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6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b. Keberadaan dan komprehensiveness dokumen yang mengatur penyusunan perencanaan kehutanan dan Rencana Tata Ruang dan Rencana Wilayah (RTRW) yang partisipatif</w:t>
            </w:r>
          </w:p>
        </w:tc>
      </w:tr>
      <w:tr w:rsidR="00C70BBD" w:rsidRPr="00C70BBD" w:rsidTr="00C70BBD">
        <w:trPr>
          <w:trHeight w:val="1035"/>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Objek Analisis</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Undang-Undang, Perdokumen Pemerintah, Perdokumen Presiden, Keputusan Presiden, Instruksi Presiden, Perdokumen Menteri, Keputusan Menteri, Perdokumen Gubernur, Perdokumen Daerah atau perdokumen yang bersifat teknis</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AIb1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Dinas Kehutanan &amp; Konservasi</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Ada dokumen yang mengatur mekanisme pengambilan keputusan yang memudahkan keterlibatan pihak yang berkepentingan.  </w:t>
            </w:r>
          </w:p>
        </w:tc>
        <w:tc>
          <w:tcPr>
            <w:tcW w:w="1659" w:type="dxa"/>
            <w:tcBorders>
              <w:top w:val="nil"/>
              <w:left w:val="nil"/>
              <w:bottom w:val="single" w:sz="4" w:space="0" w:color="auto"/>
              <w:right w:val="single" w:sz="4" w:space="0" w:color="auto"/>
            </w:tcBorders>
            <w:shd w:val="clear" w:color="auto" w:fill="auto"/>
            <w:noWrap/>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AIb2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Petugas khusus yang bertanggung jawab mengelola masukan publik</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Tidak ada dokumen, mengatur petugas khusus yang bertanggung jawab mengelola masukan publik.  </w:t>
            </w:r>
          </w:p>
        </w:tc>
        <w:tc>
          <w:tcPr>
            <w:tcW w:w="1659" w:type="dxa"/>
            <w:tcBorders>
              <w:top w:val="nil"/>
              <w:left w:val="nil"/>
              <w:bottom w:val="single" w:sz="4" w:space="0" w:color="auto"/>
              <w:right w:val="single" w:sz="4" w:space="0" w:color="auto"/>
            </w:tcBorders>
            <w:shd w:val="clear" w:color="auto" w:fill="auto"/>
            <w:noWrap/>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AIb3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Dokumentasi setiap masukan (tertulis/tidak tertulis)</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Tidak ada dokumen,  mengatur dokumentasi setiap masukan;  </w:t>
            </w:r>
          </w:p>
        </w:tc>
        <w:tc>
          <w:tcPr>
            <w:tcW w:w="1659" w:type="dxa"/>
            <w:tcBorders>
              <w:top w:val="nil"/>
              <w:left w:val="nil"/>
              <w:bottom w:val="single" w:sz="4" w:space="0" w:color="auto"/>
              <w:right w:val="single" w:sz="4" w:space="0" w:color="auto"/>
            </w:tcBorders>
            <w:shd w:val="clear" w:color="auto" w:fill="auto"/>
            <w:noWrap/>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AIb4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respon terhadap masukan yang ada</w:t>
            </w:r>
          </w:p>
        </w:tc>
        <w:tc>
          <w:tcPr>
            <w:tcW w:w="1337" w:type="dxa"/>
            <w:tcBorders>
              <w:top w:val="nil"/>
              <w:left w:val="nil"/>
              <w:bottom w:val="single" w:sz="4" w:space="0" w:color="auto"/>
              <w:right w:val="single" w:sz="4" w:space="0" w:color="auto"/>
            </w:tcBorders>
            <w:shd w:val="clear" w:color="auto" w:fill="auto"/>
            <w:noWrap/>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mengatur mekanisme respon terhadap masukan yang ada. Dokumen tidak didapat harus ada izin atasan.  atasan</w:t>
            </w:r>
          </w:p>
        </w:tc>
        <w:tc>
          <w:tcPr>
            <w:tcW w:w="1659" w:type="dxa"/>
            <w:tcBorders>
              <w:top w:val="nil"/>
              <w:left w:val="nil"/>
              <w:bottom w:val="single" w:sz="4" w:space="0" w:color="auto"/>
              <w:right w:val="single" w:sz="4" w:space="0" w:color="auto"/>
            </w:tcBorders>
            <w:shd w:val="clear" w:color="auto" w:fill="auto"/>
            <w:noWrap/>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AIb5</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Penjelasan atas keputusan akhir yang diambil</w:t>
            </w:r>
          </w:p>
        </w:tc>
        <w:tc>
          <w:tcPr>
            <w:tcW w:w="1337" w:type="dxa"/>
            <w:tcBorders>
              <w:top w:val="nil"/>
              <w:left w:val="nil"/>
              <w:bottom w:val="single" w:sz="4" w:space="0" w:color="auto"/>
              <w:right w:val="single" w:sz="4" w:space="0" w:color="auto"/>
            </w:tcBorders>
            <w:shd w:val="clear" w:color="auto" w:fill="auto"/>
            <w:noWrap/>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Tidak ada dokumen, mengatur penjelasan atas keputusan akhir.  </w:t>
            </w:r>
          </w:p>
        </w:tc>
        <w:tc>
          <w:tcPr>
            <w:tcW w:w="1659" w:type="dxa"/>
            <w:tcBorders>
              <w:top w:val="nil"/>
              <w:left w:val="nil"/>
              <w:bottom w:val="single" w:sz="4" w:space="0" w:color="auto"/>
              <w:right w:val="single" w:sz="4" w:space="0" w:color="auto"/>
            </w:tcBorders>
            <w:shd w:val="clear" w:color="auto" w:fill="auto"/>
            <w:noWrap/>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64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AIb6</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Pelaksanaan proses partisipasi</w:t>
            </w:r>
          </w:p>
        </w:tc>
        <w:tc>
          <w:tcPr>
            <w:tcW w:w="1337" w:type="dxa"/>
            <w:tcBorders>
              <w:top w:val="nil"/>
              <w:left w:val="nil"/>
              <w:bottom w:val="single" w:sz="4" w:space="0" w:color="auto"/>
              <w:right w:val="single" w:sz="4" w:space="0" w:color="auto"/>
            </w:tcBorders>
            <w:shd w:val="clear" w:color="auto" w:fill="auto"/>
            <w:noWrap/>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Tidak ada dokumen, mengatur pelaksanaan proses partisipasi. </w:t>
            </w:r>
          </w:p>
        </w:tc>
        <w:tc>
          <w:tcPr>
            <w:tcW w:w="1659" w:type="dxa"/>
            <w:tcBorders>
              <w:top w:val="nil"/>
              <w:left w:val="nil"/>
              <w:bottom w:val="single" w:sz="4" w:space="0" w:color="auto"/>
              <w:right w:val="single" w:sz="4" w:space="0" w:color="auto"/>
            </w:tcBorders>
            <w:shd w:val="clear" w:color="auto" w:fill="auto"/>
            <w:noWrap/>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lastRenderedPageBreak/>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c. Keberadaan dan komprehensiveness dokumen yang mengatur program peningkatan kapasitas masyarakat dalam proses perencanaan kehutanan dan Rencana Tata Ruang dan Rencana Wilayah (RTRW)</w:t>
            </w:r>
          </w:p>
        </w:tc>
      </w:tr>
      <w:tr w:rsidR="00C70BBD" w:rsidRPr="00C70BBD" w:rsidTr="00C70BBD">
        <w:trPr>
          <w:trHeight w:val="123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Objek Analisis</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Undang-Undang, Perdokumen Pemerintah, Perdokumen Presiden, Keputusan Presiden, Instruksi Presiden, Perdokumen Menteri, Keputusan Menteri, Perdokumen Gubernur, Perdokumen Daerah atau perdokumen yang bersifat Teknis, RPJMN/D, Renstranas/da</w:t>
            </w:r>
          </w:p>
        </w:tc>
      </w:tr>
      <w:tr w:rsidR="00C70BBD" w:rsidRPr="00C70BBD" w:rsidTr="00C70BBD">
        <w:trPr>
          <w:trHeight w:val="255"/>
        </w:trPr>
        <w:tc>
          <w:tcPr>
            <w:tcW w:w="1139" w:type="dxa"/>
            <w:tcBorders>
              <w:top w:val="single" w:sz="4" w:space="0" w:color="auto"/>
              <w:left w:val="single" w:sz="4" w:space="0" w:color="auto"/>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02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AIc1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cukup baik,  dalam Pasal 28 Perdasus No. 21 Tahun 2008 Tentang Pengelolaan hutan Berkelanjutan</w:t>
            </w:r>
          </w:p>
        </w:tc>
        <w:tc>
          <w:tcPr>
            <w:tcW w:w="1659" w:type="dxa"/>
            <w:tcBorders>
              <w:top w:val="single" w:sz="4" w:space="0" w:color="auto"/>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AIc2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Diatur cukup baik dalam Pasal 28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255"/>
        </w:trPr>
        <w:tc>
          <w:tcPr>
            <w:tcW w:w="1139"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4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d. Keberadaan dan komprehensiveness dokumen yang mengatur Mekanisme penanganan pengaduan dalam proses perencanaan kehutanan dan Rencana Tata Ruang dan Rencana Wilayah (RTRW)</w:t>
            </w:r>
          </w:p>
        </w:tc>
      </w:tr>
      <w:tr w:rsidR="00C70BBD" w:rsidRPr="00C70BBD" w:rsidTr="00C70BBD">
        <w:trPr>
          <w:trHeight w:val="1005"/>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Undang-Undang, Perdokumen Pemerintah, Perdokumen Presiden, Keputusan Presiden, Instruksi Presiden, Perdokumen Menteri, Keputusan Menteri, Perdokumen Gubernur, Perdokumen Daerah atau perdokumen yang bersifat teknis</w:t>
            </w:r>
          </w:p>
        </w:tc>
      </w:tr>
      <w:tr w:rsidR="00C70BBD" w:rsidRPr="00C70BBD" w:rsidTr="00C70BBD">
        <w:trPr>
          <w:trHeight w:val="255"/>
        </w:trPr>
        <w:tc>
          <w:tcPr>
            <w:tcW w:w="1139" w:type="dxa"/>
            <w:tcBorders>
              <w:top w:val="single" w:sz="4" w:space="0" w:color="auto"/>
              <w:left w:val="single" w:sz="4" w:space="0" w:color="auto"/>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76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AId1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mekanisme pengadua</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AId2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resolusi konflik</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vAlign w:val="bottom"/>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Diatur dalam Pasal 29-32, Perdasus No 22 Tahun 2008 tentang Perlindungan dan Pengelolaan Sumberdaya Alam Masyarakat hukum Adat</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3 </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AId3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Keahlian &amp; pemahaman mediator tentang isu-isu masyarakat adat/lokal</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kebijakan yang mengatur</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33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II.Pengdokumen Hak</w:t>
            </w: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9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a. Keberadaan dan komprehensiveness dokumen yang mengatur transparansi penetapan hak kelola hutan bagi masyarakat adat/lokal dan bisnis</w:t>
            </w:r>
          </w:p>
        </w:tc>
      </w:tr>
      <w:tr w:rsidR="00C70BBD" w:rsidRPr="00C70BBD" w:rsidTr="00C70BBD">
        <w:trPr>
          <w:trHeight w:val="63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AIIa1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Ketersediaan seluruh informasi secara sistematis sehingga mudah diakses</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Dinas Kehutanan &amp; Konservasi</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Ada, tidak dalam dokumen khusus tentang ketersediaan seluruh informasi secara sistematis sehingga mudah diakses.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AIIa2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Kewajiban memiliki petugas khusus yang menangani permintaan </w:t>
            </w:r>
            <w:r w:rsidRPr="00C70BBD">
              <w:rPr>
                <w:rFonts w:ascii="Times New Roman" w:eastAsia="Times New Roman" w:hAnsi="Times New Roman" w:cs="Times New Roman"/>
                <w:color w:val="000000"/>
                <w:sz w:val="20"/>
                <w:szCs w:val="20"/>
                <w:lang w:eastAsia="id-ID"/>
              </w:rPr>
              <w:lastRenderedPageBreak/>
              <w:t>informasi</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Tidak ada dokumen, tentang kewajiban memiliki petugas khusus yang menangani permintaan informasi.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AIIa3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Diatur cukup baik dalam ayat (1) dan (2) Pasal 69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AIIa4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Diatur cukup baik dalam Pasal 70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18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AIIa5</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Diatur cukup baik dalam ayat (3) Pasal 69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AIIa6</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Sanksi bagi pihak-pihak yang sengaja menghambat akses publik atas informasi</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sanksi bagi pihak-pihak yang sengaja menghambat akses publik atas informasi;</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b. Keberadaan dan komprehensiveness dokumen yang mengatur pengakuan atas hak kelola hutan yang dimiliki oleh masyarakat adat, masyarakat lokal dan bisnis  terhadap hutan</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UU, Permenhut, Perda</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AIIb1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Diatur dalam Pasal 2 (1), Perdasus No. 23 Tahun 2008 Tentang Hak Ulayat Hukum Adat dan Hak Perorangan Warga Masyarakat Hukum Adat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AIIb2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mendapatkan izin pengelolaan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Diatur dalam Pasal 3-5, Perdasus No. 23 Tahun 2008 Tentang Hak Ulayat Hukum Adat dan Hak Perorangan Warga Masyarakat Hukum Adat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3</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AIIb3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Keuntungan bagi masyarakat Adat/Lokal</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Diatur dalam Pasal 11-12,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c. Keberadaan dan komprehensiveness dokumen yang mengatur perlindungan terhadap hak kelola hutan yang telah diberikan kepada masyarakat adat, masyarakat lokal dan bisnis</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UU, Permenhut, Perda</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AIIc1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Ada dokumen, mengatur dengan baik pengakuan. Diatur dalam Pasal 18, Perdasus No 22 Tahun 2008 tentang Perlindungan dan Pengelolaan Sumberdaya Alam Masyarakat hukum Adat</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AIIc2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Ada dokumen dalam Perda nomor 21 tahun 2008 tentang Pengelolaan Hutan Berkelanjutan, tapi kurang baik mengatur sanksi/ancaman hukum; </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AIIc3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Ganti rugi bagi pemegang hak yang dirugikan (mudah &amp; memadai)</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Ada dokumen, kurang baik mengatur ganti rugi. Sebagaimana diamanatkan dalam pasal 14 Perda 23 tahun 2008 tetang Hak Ulayat</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d. Keberadaan dan komprehensiveness dokumen yang mengatur program peningkatan kapasitas masyarakat untuk mengakses hak pengelolaan hutan</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UU, Permenhut, Perda</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AIId1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peningkatan kapasitas masyarakat Adat/ Lokal untuk mengakses hak pengelolaan hutan. Diatur dalam Pasal 11-12,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AIId2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peningkatan kapasitas pemerintah (pada tingkatan) lebih rendah</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Biro Hukum</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Ada dokumen, kurang baik mengatur program peningkatan kapasitas; Dokumen tidak didapat harus ada izin atasan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AIId3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mengakses anggaran peningkatan kapasitas bagi masyarakat Adat/Lokal</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Tidak ada dokumen yang menga-tur mekanisme mengakses ang-garan peningkatan kapasitas bagi masyarakat Adat/Lokal;</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AIId4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Program peningkatan kapasitas masyarakat dan pemerintah Daerah secara partisipatif diatur dalam Pasal 12 dan Pasal 48 Perda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33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III. Pengorganisasian Hutan</w:t>
            </w: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a. Keberadaan dan komprehensiveness dokumen yang mengatur akuntablitas institusi pengelolaan hutan dan lahan gambut </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UU, Permenhut</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AIIIa1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Kejelasan tugas &amp; wewenang pengelolaan hutan &amp; lahan gambut</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Diatur dalam Perda Nomor 10 Tahun 2008 tentang Struktur Organisasi dan Tata Kerja Dinas </w:t>
            </w:r>
          </w:p>
        </w:tc>
        <w:tc>
          <w:tcPr>
            <w:tcW w:w="1659"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AIIIa2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Transparansi output tahunan dan capaian institusi</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Biro Hukum</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Ada dokumen kurang baik mengatur transparansi output tahunan dan capaian institusi;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2</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AIIIa3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Anggaran berbasis kinerja (Budget based on performance)</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Bappeda</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Ada dokumen, cukup baik mengatur anggaran berbasis kinerja.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AIIIa4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Ada dokumen, dengan cuckup baaik mengatur tentang desentralisasi (tugas &amp; wewenang) ke tingkat yang lebih rendah (disertai prinsip transparansi &amp; partisipasi)  Diatur dalam Pasal 33,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b. Keberadaan dan komprehensiveness dokumen yang mengatur harmonisasi hukum dan kebijakan terkait dengan hutan dan lahan gambut </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:(permenkum-ham) Cek dibiro hukum prov/kab</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AIIIb1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Kejelasan lembaga yang bertanggung jawab</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Diatur cukup baik dalam Pasal 28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AIIIb2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harmonisasi dokumen sebelum diundangkan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c. Keberadaan dan komprehensiveness dokumen yang mengatur pertimbangan integritas dan keahlian dalam posisi strategis di institusi yang bertanggungjawab terhadap kehutanan dan lahan gambut </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permenpan/SK Gub/Bup/Inpres 5/2004</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AIIIc1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Keterbukaan proses pengisian posisi strategis</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keterbukaan proses pengisian posisi strategis;</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AIIIc2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Penilaian pihak ketiga (independen) dalam proses pemilihan SDM</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penilaian pihak ketiga (independen) dalam proses pemilihan SDM;</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AIIIc3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life style checking dan kewajaran harta dengan bantuan PPATK;</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AIIIc4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Kewajiban verifikasi LHKPN dengan bantuan KPK</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kewajiban verifikasi KHKPN dengan bantuan KPK;</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AIIIc5</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Batasan Conflict of Interest &amp; mekanisme yang harus dilakukan</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batasan Conflict of Interest &amp; mekanisme yang harus dilakukan;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AIIIc6</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Pembuatan pakta integritas, pemenuhan kode etik dan kontrak kinerja</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pembuatan pakta integritas, pemenuhan kode etik dan kontrak kinerja;</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d. Keberadaan dan komprehensiveness dokumen yang mengatur pelaksanaan penegakan hukum dalam pengelolaan hutan dan lahan gambut di tingkat Nasional/Propinsi/Kab secara efektif dan efisien serta tidak rentan korupsi</w:t>
            </w:r>
          </w:p>
        </w:tc>
      </w:tr>
      <w:tr w:rsidR="00C70BBD" w:rsidRPr="00C70BBD" w:rsidTr="00C70BBD">
        <w:trPr>
          <w:trHeight w:val="63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terkait dengan dokumen lain, SK kemenhut/ kejaksaan/Kehakiman/KPK/PPATK, Kemenkeu</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AIIId1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Pembenahan case manage-ment sehingga menutup celah-celah abuse of power</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single" w:sz="4" w:space="0" w:color="auto"/>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pembenahan case management sehingga menutup celah-celah abuse of power;</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AIIId2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Sistem pengawasan dan pen-disiplinan internal di lembaga penegak hukum</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sistem pengawasan dan pendisiplinan internal di lembaga penegak hukum;</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1</w:t>
            </w:r>
          </w:p>
        </w:tc>
      </w:tr>
      <w:tr w:rsidR="00C70BBD" w:rsidRPr="00C70BBD" w:rsidTr="00C70BBD">
        <w:trPr>
          <w:trHeight w:val="280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AIIId3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peningkatan kapasitas aparat penegak hukum terkait isu-isu pengelolaan hutan &amp; lahan gambut secara lestari, kebijakan Negara atas masyarakat adat, serta pemanfaatan instrumen hukum lain seperti pajak, korupsi, dan anti pencucian uang untuk memberan-tas kejahatan kehutanan (multi-door approach);</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AIIId4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Ada dokumen, cukup baik mengatur; Kewajiban koordinasi yang efektif antara aparat penegak hukum terkait dalam isu hutan dan lahan gambut dan penunjukan leading sector yang jelas;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2</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AIIId5</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Pemenuhan rasio jumlah penegak hukum di bidang kehutanan dan lahan gambut</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pemenuhan rasio jumlah penegak hukum di bidang kehutanan dan lahan gambut;</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AIIId6</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insentif dan disinsentif untuk mencapai penaatan</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mekanisme insentif dan disinsentif untuk mencapai penaatan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33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IV. Pengelolaan Hutan</w:t>
            </w: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a. Keberadaan dan komprehensiveness dokumen yang mengatur kewajiban penyusunan rencana pengelolaan hutan secara berkeadilan dan obyektif </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AIVa1</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FF0000"/>
                <w:sz w:val="20"/>
                <w:szCs w:val="20"/>
                <w:lang w:eastAsia="id-ID"/>
              </w:rPr>
            </w:pPr>
            <w:r w:rsidRPr="00C70BBD">
              <w:rPr>
                <w:rFonts w:ascii="Times New Roman" w:eastAsia="Times New Roman" w:hAnsi="Times New Roman" w:cs="Times New Roman"/>
                <w:color w:val="FF0000"/>
                <w:sz w:val="20"/>
                <w:szCs w:val="20"/>
                <w:lang w:eastAsia="id-ID"/>
              </w:rPr>
              <w:t>Tidak ada item data dari sumber awal</w:t>
            </w:r>
          </w:p>
        </w:tc>
        <w:tc>
          <w:tcPr>
            <w:tcW w:w="1337" w:type="dxa"/>
            <w:tcBorders>
              <w:top w:val="nil"/>
              <w:left w:val="nil"/>
              <w:bottom w:val="single" w:sz="4" w:space="0" w:color="auto"/>
              <w:right w:val="single" w:sz="4" w:space="0" w:color="auto"/>
            </w:tcBorders>
            <w:shd w:val="clear" w:color="000000" w:fill="FFFF00"/>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000000" w:fill="FFFF00"/>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1659" w:type="dxa"/>
            <w:tcBorders>
              <w:top w:val="nil"/>
              <w:left w:val="nil"/>
              <w:bottom w:val="single" w:sz="4" w:space="0" w:color="auto"/>
              <w:right w:val="single" w:sz="4" w:space="0" w:color="auto"/>
            </w:tcBorders>
            <w:shd w:val="clear" w:color="000000" w:fill="FFFF00"/>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r>
      <w:tr w:rsidR="00C70BBD" w:rsidRPr="00C70BBD" w:rsidTr="00C70BBD">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AIVa2</w:t>
            </w:r>
          </w:p>
        </w:tc>
        <w:tc>
          <w:tcPr>
            <w:tcW w:w="2127" w:type="dxa"/>
            <w:vMerge/>
            <w:tcBorders>
              <w:top w:val="nil"/>
              <w:left w:val="single" w:sz="4" w:space="0" w:color="auto"/>
              <w:bottom w:val="single" w:sz="4" w:space="0" w:color="000000"/>
              <w:right w:val="single" w:sz="4" w:space="0" w:color="auto"/>
            </w:tcBorders>
            <w:vAlign w:val="center"/>
            <w:hideMark/>
          </w:tcPr>
          <w:p w:rsidR="00C70BBD" w:rsidRPr="00C70BBD" w:rsidRDefault="00C70BBD" w:rsidP="00C70BBD">
            <w:pPr>
              <w:spacing w:after="0" w:line="240" w:lineRule="auto"/>
              <w:rPr>
                <w:rFonts w:ascii="Times New Roman" w:eastAsia="Times New Roman" w:hAnsi="Times New Roman" w:cs="Times New Roman"/>
                <w:color w:val="FF0000"/>
                <w:sz w:val="20"/>
                <w:szCs w:val="20"/>
                <w:lang w:eastAsia="id-ID"/>
              </w:rPr>
            </w:pPr>
          </w:p>
        </w:tc>
        <w:tc>
          <w:tcPr>
            <w:tcW w:w="1337" w:type="dxa"/>
            <w:tcBorders>
              <w:top w:val="nil"/>
              <w:left w:val="nil"/>
              <w:bottom w:val="single" w:sz="4" w:space="0" w:color="auto"/>
              <w:right w:val="single" w:sz="4" w:space="0" w:color="auto"/>
            </w:tcBorders>
            <w:shd w:val="clear" w:color="000000" w:fill="FFFF00"/>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000000" w:fill="FFFF00"/>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1659" w:type="dxa"/>
            <w:tcBorders>
              <w:top w:val="nil"/>
              <w:left w:val="nil"/>
              <w:bottom w:val="single" w:sz="4" w:space="0" w:color="auto"/>
              <w:right w:val="single" w:sz="4" w:space="0" w:color="auto"/>
            </w:tcBorders>
            <w:shd w:val="clear" w:color="000000" w:fill="FFFF00"/>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b. Keberadaan dan komprehensiveness dokumen yang mengatur transparansi pengelolaan hutan dan lahan gambut</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SK Menhut/pertanian/ SK/perda-Gub/Bup</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AIVb1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AIVb2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Diatur dalam Perda Nomor 10 Tahun 2008 tentang Struktur Organisasi dan Tata Kerja Dinas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AIVb3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kewajiban pemberian akses bagi publik baik secara proaktif maupun berdasarkan permintaan;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AIVb4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18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AIVb5</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Pasal 9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AIVb6</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Sanksi bagi pihak-pihak yang sengaja menghambat akses publik atas informasi</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sanksi bagi pihak-pihak yang se-ngaja menghambat akses publik atas informasi;</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c. Keberadaan dan komprehensiveness dokumen yang mengatur keterlibatan pemangku kepentingan dalam pengelolaan hutan dan lahan gambut yang  berarti </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SK Menhut/Pertanian, SK/Perda-Gub/Bup</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AIVc1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da dokumen yang mengatur informasi rencana pemberian izin/pelaksanaan lelang kepada seluruh pihak yg memiliki hak serta pihak yg berkepentingan.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AIVc2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mekanisme yang memudahkan bagi seluruh pihak yang berkepen-tingan untuk dapat terlibat dalam proses pengambilan keputusan.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AIVc3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penunjukan satu petugas khu-sus yang bertanggungjawab me-ngelola masukan publik dalam proses pemberian izin/pelak-sanaan lelang.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AIVc4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Dokumentasi setiap masukan baik yang tertulis ataupun tidak</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Tidak ada dokumen yang mengatur dokumentasi setiap masukan baik yang tertulis ataupun tidak.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AIVc5</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Pemberian respon yang bersifat terbuka atas setiap masukan yang ada</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pemberian respon yang bersifat terbuka atas setiap masukan yang ada.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AIVc6</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Pemberian penjelasan atas keputusan akhir yang diambil</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pemberian penjelasan atas keputusan akhir yang diambil;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0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d. Keberadaan dan komprehensiveness dokumen yang mengatur mekanisme pemberian izin pengelolaan hutan yang efisien</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AIVa1</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FF0000"/>
                <w:sz w:val="20"/>
                <w:szCs w:val="20"/>
                <w:lang w:eastAsia="id-ID"/>
              </w:rPr>
            </w:pPr>
            <w:r w:rsidRPr="00C70BBD">
              <w:rPr>
                <w:rFonts w:ascii="Times New Roman" w:eastAsia="Times New Roman" w:hAnsi="Times New Roman" w:cs="Times New Roman"/>
                <w:color w:val="FF0000"/>
                <w:sz w:val="20"/>
                <w:szCs w:val="20"/>
                <w:lang w:eastAsia="id-ID"/>
              </w:rPr>
              <w:t>Tidak ada item data dari sumber awal</w:t>
            </w:r>
          </w:p>
        </w:tc>
        <w:tc>
          <w:tcPr>
            <w:tcW w:w="1337" w:type="dxa"/>
            <w:tcBorders>
              <w:top w:val="nil"/>
              <w:left w:val="nil"/>
              <w:bottom w:val="single" w:sz="4" w:space="0" w:color="auto"/>
              <w:right w:val="single" w:sz="4" w:space="0" w:color="auto"/>
            </w:tcBorders>
            <w:shd w:val="clear" w:color="000000" w:fill="FFFF00"/>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000000" w:fill="FFFF00"/>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1659" w:type="dxa"/>
            <w:tcBorders>
              <w:top w:val="nil"/>
              <w:left w:val="nil"/>
              <w:bottom w:val="single" w:sz="4" w:space="0" w:color="auto"/>
              <w:right w:val="single" w:sz="4" w:space="0" w:color="auto"/>
            </w:tcBorders>
            <w:shd w:val="clear" w:color="000000" w:fill="FFFF00"/>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r>
      <w:tr w:rsidR="00C70BBD" w:rsidRPr="00C70BBD" w:rsidTr="00C70BBD">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AIVa2</w:t>
            </w:r>
          </w:p>
        </w:tc>
        <w:tc>
          <w:tcPr>
            <w:tcW w:w="2127" w:type="dxa"/>
            <w:vMerge/>
            <w:tcBorders>
              <w:top w:val="nil"/>
              <w:left w:val="single" w:sz="4" w:space="0" w:color="auto"/>
              <w:bottom w:val="single" w:sz="4" w:space="0" w:color="000000"/>
              <w:right w:val="single" w:sz="4" w:space="0" w:color="auto"/>
            </w:tcBorders>
            <w:vAlign w:val="center"/>
            <w:hideMark/>
          </w:tcPr>
          <w:p w:rsidR="00C70BBD" w:rsidRPr="00C70BBD" w:rsidRDefault="00C70BBD" w:rsidP="00C70BBD">
            <w:pPr>
              <w:spacing w:after="0" w:line="240" w:lineRule="auto"/>
              <w:rPr>
                <w:rFonts w:ascii="Times New Roman" w:eastAsia="Times New Roman" w:hAnsi="Times New Roman" w:cs="Times New Roman"/>
                <w:color w:val="FF0000"/>
                <w:sz w:val="20"/>
                <w:szCs w:val="20"/>
                <w:lang w:eastAsia="id-ID"/>
              </w:rPr>
            </w:pPr>
          </w:p>
        </w:tc>
        <w:tc>
          <w:tcPr>
            <w:tcW w:w="1337" w:type="dxa"/>
            <w:tcBorders>
              <w:top w:val="nil"/>
              <w:left w:val="nil"/>
              <w:bottom w:val="single" w:sz="4" w:space="0" w:color="auto"/>
              <w:right w:val="single" w:sz="4" w:space="0" w:color="auto"/>
            </w:tcBorders>
            <w:shd w:val="clear" w:color="000000" w:fill="FFFF00"/>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000000" w:fill="FFFF00"/>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1659" w:type="dxa"/>
            <w:tcBorders>
              <w:top w:val="nil"/>
              <w:left w:val="nil"/>
              <w:bottom w:val="single" w:sz="4" w:space="0" w:color="auto"/>
              <w:right w:val="single" w:sz="4" w:space="0" w:color="auto"/>
            </w:tcBorders>
            <w:shd w:val="clear" w:color="000000" w:fill="FFFF00"/>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9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e. Keberadaan dan komprehensiveness dokumen yang mengatur mekanisme penanganan pengaduan dalam konflik pengelolaan hutan dan lahan gambu</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AIVe1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Tidak ada dokumen yang mengatur mekanisme pengaduan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AIVe2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resolusi konflik dan penyelesaian sengketa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Pasal 72-75,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3</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AIVe3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Mediator memiliki keahlian dan pemahaman tentang isu-isu adat/masyarakat lokal</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mediator memiliki keahlian dan pemahaman tentang isu-isu adat/masyarakat lokal;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AIVe4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mengatur mekanisme pengawasan eksternal atas kinerja penegak hukum dalam menindaklanjuti pengaduan masyarakat.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33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V. Pengorganisasian Hutan</w:t>
            </w: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9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a. Keberadaan dan komprehensiveness dokumen yang mengatur transparansi pengendalian dan penegakan hukum dalam pengelolaan hutan</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SK Menhut/Gub/Bu</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AVa1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Pasal 70,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AVa2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Terdapat dokumen yang mewajibkan pemberian akses bagi publik baik secara proaktif maupun berdasarkan permintaan dalam tahap pengawasan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Pasal 69,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18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AVa3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Ayat 3 Pasal 69,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AVa4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mengatur sanksi bagi pihak-pihak yg sengaja menghambat akses publik atas informasi; Dokumen tidak didapat harus ada izin atasan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9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b. Keberadaan dan komprehensiveness dokumen yang mengatur pengawasan yang berintegritas dan partisipatif dalam pengelolaan hutan</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Per/SK menhut/Gub/Bup</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AVb1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Dinas Kehutanan &amp; Konservasi</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Ada dokumen, kurang baik mengatur informasi pelaksanaan kegiat-an untuk memperjelas masukan publik atas suatu kasus. Dokumen tidak didapat harus ada izin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AVb2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Biro Hukum</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Ada dokumen, kurang baik mekanisme penerimaan pe-ngaduan yang memudahkan bagi seluruh pihak (termasuk competi-tors) untuk menyampaikan pengaduan; Dokumen tidak didapat harus ada izin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AVb3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Dokumentasi setiap laporan pengaduan baik yang tertulis ataupun tidak</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Bappeda</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Ada dokumen, kurang baik mengatur dokumentasi setiap laporan pengaduan baik yang tertulis ataupun tidak. Dokumen tidak didapat harus ada izin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AVb4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BKSDA</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Ada dokumen, kurang baik mengatur mekanisme penerimaan pe-ngaduan (memiliki jangka waktu yang jelas atas respon yang akan diberikan); Dokumen tidak didapat harus ada izin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2</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AVb5</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mekanisme penerimaan pe-ngaduan yang menawarkan kemudahan dan kejelasan pihak yang dikontak</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AVb6</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337"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Tidak ada dokumen yang menga-tur penunjukan satu petugas khu-sus yang bertanggungjawab me-ngelola masukan publik dalam proses pengawasan; </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9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lastRenderedPageBreak/>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c. Keberadaan dan komprehensiveness dokumen yang mengatur program peningkatan kapasitas masyarakat dalam pengawasan pengelolaan hutan dan lahan gambut  </w:t>
            </w:r>
            <w:r w:rsidRPr="00C70BBD">
              <w:rPr>
                <w:rFonts w:ascii="Times New Roman" w:eastAsia="Times New Roman" w:hAnsi="Times New Roman" w:cs="Times New Roman"/>
                <w:b/>
                <w:bCs/>
                <w:color w:val="000000"/>
                <w:sz w:val="20"/>
                <w:szCs w:val="20"/>
                <w:lang w:eastAsia="id-ID"/>
              </w:rPr>
              <w:br/>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AVc1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w:t>
            </w:r>
          </w:p>
        </w:tc>
        <w:tc>
          <w:tcPr>
            <w:tcW w:w="4623"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Diatur dalam Pasal 12 Perda Nomor 21 Tahun 2008 Tentang Pengelolaan Hutan Berkelanjutan. Pada sebagian masyarakat adat terdapat kearifan lokal yang memang menekankan untuk menjaga keseimbangan lingkungan sehingga masyarakat tidak melakukan eksploitasi sesuka hatinya. </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AVc2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 </w:t>
            </w:r>
          </w:p>
        </w:tc>
        <w:tc>
          <w:tcPr>
            <w:tcW w:w="4623"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dokumennya makanya anggarannya tidak ada</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9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d. Keberadaan dan komprehensiveness dokumen yang mengatur mekanisme penindaklanjutan temuan penyelewengan/indikasi korupsi yang responsif</w:t>
            </w:r>
            <w:r w:rsidRPr="00C70BBD">
              <w:rPr>
                <w:rFonts w:ascii="Times New Roman" w:eastAsia="Times New Roman" w:hAnsi="Times New Roman" w:cs="Times New Roman"/>
                <w:b/>
                <w:bCs/>
                <w:color w:val="000000"/>
                <w:sz w:val="20"/>
                <w:szCs w:val="20"/>
                <w:lang w:eastAsia="id-ID"/>
              </w:rPr>
              <w:br/>
            </w:r>
            <w:r w:rsidRPr="00C70BBD">
              <w:rPr>
                <w:rFonts w:ascii="Times New Roman" w:eastAsia="Times New Roman" w:hAnsi="Times New Roman" w:cs="Times New Roman"/>
                <w:b/>
                <w:bCs/>
                <w:color w:val="000000"/>
                <w:sz w:val="20"/>
                <w:szCs w:val="20"/>
                <w:lang w:eastAsia="id-ID"/>
              </w:rPr>
              <w:br/>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AVd1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Pelaksanaan perbaikan sistem secara partisipatif dari rekomendasi BPK dan KPK</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bottom"/>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pelaksanaan perbaikan sistem secara partisipatif dari rekomen-dasi BPK dan KPK;</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69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e. Keberadaan dan komprehensiveness dokumen yang mengatur mekanisme multi door approach dalam penyelesaian kasus-kasus kejahatan kehutanan</w:t>
            </w:r>
            <w:r w:rsidRPr="00C70BBD">
              <w:rPr>
                <w:rFonts w:ascii="Times New Roman" w:eastAsia="Times New Roman" w:hAnsi="Times New Roman" w:cs="Times New Roman"/>
                <w:b/>
                <w:bCs/>
                <w:color w:val="000000"/>
                <w:sz w:val="20"/>
                <w:szCs w:val="20"/>
                <w:lang w:eastAsia="id-ID"/>
              </w:rPr>
              <w:br/>
            </w:r>
            <w:r w:rsidRPr="00C70BBD">
              <w:rPr>
                <w:rFonts w:ascii="Times New Roman" w:eastAsia="Times New Roman" w:hAnsi="Times New Roman" w:cs="Times New Roman"/>
                <w:b/>
                <w:bCs/>
                <w:color w:val="000000"/>
                <w:sz w:val="20"/>
                <w:szCs w:val="20"/>
                <w:lang w:eastAsia="id-ID"/>
              </w:rPr>
              <w:br/>
            </w:r>
            <w:r w:rsidRPr="00C70BBD">
              <w:rPr>
                <w:rFonts w:ascii="Times New Roman" w:eastAsia="Times New Roman" w:hAnsi="Times New Roman" w:cs="Times New Roman"/>
                <w:b/>
                <w:bCs/>
                <w:color w:val="000000"/>
                <w:sz w:val="20"/>
                <w:szCs w:val="20"/>
                <w:lang w:eastAsia="id-ID"/>
              </w:rPr>
              <w:br/>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dokumen KLH-kehutanan (satgas illegal loging)</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AVe1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pendekatan multi-door approach antara lain terdiri dari pendekatan pidana korupsi, anti money laundering, pidana pajak, dan pidana lingkungan hidup</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33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IV. Infrastruktur REDD+</w:t>
            </w: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76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a. Keberadaan dan komprehensiveness dokumen yang mengatur transparansi dalam pengembangan kebijakan dan kelembagaan REDD+</w:t>
            </w:r>
          </w:p>
        </w:tc>
      </w:tr>
      <w:tr w:rsidR="00C70BBD" w:rsidRPr="00C70BBD" w:rsidTr="00C70BBD">
        <w:trPr>
          <w:trHeight w:val="390"/>
        </w:trPr>
        <w:tc>
          <w:tcPr>
            <w:tcW w:w="3266" w:type="dxa"/>
            <w:gridSpan w:val="2"/>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lastRenderedPageBreak/>
              <w:t>Sumber Data</w:t>
            </w:r>
          </w:p>
        </w:tc>
        <w:tc>
          <w:tcPr>
            <w:tcW w:w="7619" w:type="dxa"/>
            <w:gridSpan w:val="3"/>
            <w:tcBorders>
              <w:top w:val="nil"/>
              <w:left w:val="nil"/>
              <w:bottom w:val="single" w:sz="4" w:space="0" w:color="auto"/>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(UKP4, Permenhut, Perda/SK Gub/Bup)</w:t>
            </w:r>
            <w:r w:rsidRPr="00C70BBD">
              <w:rPr>
                <w:rFonts w:ascii="Times New Roman" w:eastAsia="Times New Roman" w:hAnsi="Times New Roman" w:cs="Times New Roman"/>
                <w:b/>
                <w:bCs/>
                <w:color w:val="000000"/>
                <w:sz w:val="20"/>
                <w:szCs w:val="20"/>
                <w:lang w:eastAsia="id-ID"/>
              </w:rPr>
              <w:br/>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AVIa1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ketersediaan seluruh informasi dalam kaitannya dengan proses pembentukan infrastruktur, pelak-sanaan dan pengawasan REDD+</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AVIa2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kewajiban agar Badan Publik memiliki petugas khusus yang menangani permintaan informasi publik</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AVIa3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pemberian akses bagi publik baik secara proaktif maupun ber-dasarkan permintaan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8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AVIa4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batasan atas informasi yang dapat diakses diatur dengan jelas dan didasarkan pada kepentingan publik (balancing public interest test)</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AVIa5</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Sanksi bagi pihak-pihak yang sengaja menghambat akses publik atas informasi</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sanksi bagi pihak-pihak yang sengaja menghambat akses publik atas informasi</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76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b. Keberadaan dan komprehensiveness dokumen yang mengatur penyusunan kebijakan dan kelembagaan REDD+ yang obyektif dan transparan</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AVIb1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Penyampaian informasi atas rencana pembentukan perdokumen/kebijakan terkait REDD+ kepada seluruh pihak yg memiliki hak serta pihak yg berkepentingan</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penyampaian informasi atas rencana pembentukan perdokumen/ kebijakan terkait REDD+ kepada seluruh pihak yg memiliki hak serta pihak yang berkepentingan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AVIb2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mekanisme yang memudahkan bagi seluruh pihak yang berkepentingan untuk dapat terlibat dalam proses pengambilan keputusan</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AVIb3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Penunjukan satu petugas khusus yang bertanggungjawab mengelola masukan publik dalam proses pembentukan kebijakan </w:t>
            </w:r>
            <w:r w:rsidRPr="00C70BBD">
              <w:rPr>
                <w:rFonts w:ascii="Times New Roman" w:eastAsia="Times New Roman" w:hAnsi="Times New Roman" w:cs="Times New Roman"/>
                <w:color w:val="000000"/>
                <w:sz w:val="20"/>
                <w:szCs w:val="20"/>
                <w:lang w:eastAsia="id-ID"/>
              </w:rPr>
              <w:lastRenderedPageBreak/>
              <w:t>terkait REDD+;</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penunjukan satu petugas khusus yang bertanggungjawab mengelola masukan publik dalam proses pembentukan kebijakan terkait REDD+</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AVIb4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Dokumentasi setiap masukan baik yang tertulis ataupun tidak</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dokumentasi setiap masukan baik yang tertulis ataupun tidak</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512"/>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AVIb5</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pemberian respon yang bersifat terbuka atas setiap masukan yang ada (metode umpan balik)</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AVIb6</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Penjelasan atas keputusan akhir yang diambil</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penjelasan atas keputusan akhir yang diambil</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AVIb7</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pelaksanakan seluruh proses partisipasi dalam waktu yang cukup, (minimum 45 hari kerja)</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76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c. Keberadaan dan komprehensiveness dokumen yang mengatur mekanisme penanganan pengaduan masyarakat dalam proses pengembangan kebijakan dan kelembagaan REDD+ </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229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AVIc1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mekanisme pengaduan masyarakat yang memudahkan bagi seluruh pihak (termasuk competitors) untuk menyampaikan pengaduan dan mendapatkan kejelasan tindakan yang telah diambil atas pengaduan yang disampaikan dalam jangka waktu yang jelas</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AVIc2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Pasal 72-74,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AVIc3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Jasa mediator yang memiliki keahlian dan pemahaman tentang isu-isu adat</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Pasal 75,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3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d. Keberadaan dan komprehensiveness dokumen yang mengatur program peningkatan kapasitas aparat pemerintah dan masyarakat dalam penyiapan pengembangan kebijakan dan kelembagaan REDD+  </w:t>
            </w:r>
            <w:r w:rsidRPr="00C70BBD">
              <w:rPr>
                <w:rFonts w:ascii="Times New Roman" w:eastAsia="Times New Roman" w:hAnsi="Times New Roman" w:cs="Times New Roman"/>
                <w:b/>
                <w:bCs/>
                <w:color w:val="000000"/>
                <w:sz w:val="20"/>
                <w:szCs w:val="20"/>
                <w:lang w:eastAsia="id-ID"/>
              </w:rPr>
              <w:br/>
              <w:t xml:space="preserve"> </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Sumber </w:t>
            </w:r>
            <w:r w:rsidRPr="00C70BBD">
              <w:rPr>
                <w:rFonts w:ascii="Times New Roman" w:eastAsia="Times New Roman" w:hAnsi="Times New Roman" w:cs="Times New Roman"/>
                <w:b/>
                <w:bCs/>
                <w:color w:val="000000"/>
                <w:sz w:val="20"/>
                <w:szCs w:val="20"/>
                <w:lang w:eastAsia="id-ID"/>
              </w:rPr>
              <w:lastRenderedPageBreak/>
              <w:t>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lastRenderedPageBreak/>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lastRenderedPageBreak/>
              <w:t>AVId1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program untuk meningkatkan kapasitas masyarakat adat/lokal untuk untuk memahami REDD+ serta pilihan-pilihan kebijakan yang ada</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AVId2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program untuk peningkatan kapasitas pemerintahan yang lebih rendah untuk memahami REDD+ serta pilihan-pilihan kebijakan yang ada</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93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xml:space="preserve">: e. Keberadaan dan komprehensiveness dokumen yang mengatur mekanisme tindak lanjut temuan penyelewengan/indikasi korupsi kegiatan REDD+ yang responsif </w:t>
            </w:r>
            <w:r w:rsidRPr="00C70BBD">
              <w:rPr>
                <w:rFonts w:ascii="Times New Roman" w:eastAsia="Times New Roman" w:hAnsi="Times New Roman" w:cs="Times New Roman"/>
                <w:b/>
                <w:bCs/>
                <w:color w:val="000000"/>
                <w:sz w:val="20"/>
                <w:szCs w:val="20"/>
                <w:lang w:eastAsia="id-ID"/>
              </w:rPr>
              <w:br/>
              <w:t xml:space="preserve"> </w:t>
            </w:r>
            <w:r w:rsidRPr="00C70BBD">
              <w:rPr>
                <w:rFonts w:ascii="Times New Roman" w:eastAsia="Times New Roman" w:hAnsi="Times New Roman" w:cs="Times New Roman"/>
                <w:b/>
                <w:bCs/>
                <w:color w:val="000000"/>
                <w:sz w:val="20"/>
                <w:szCs w:val="20"/>
                <w:lang w:eastAsia="id-ID"/>
              </w:rPr>
              <w:br/>
              <w:t xml:space="preserve"> </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AVIe1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Pelaksanaan perbaikan sistem berdasarkan rekomendasi BPK secara partisipatif</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pelaksanaan perbaikan sistem berdasarkan rekomendasi BPK secara partisipatif</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255"/>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p>
        </w:tc>
      </w:tr>
      <w:tr w:rsidR="00C70BBD" w:rsidRPr="00C70BBD" w:rsidTr="00C70BBD">
        <w:trPr>
          <w:trHeight w:val="780"/>
        </w:trPr>
        <w:tc>
          <w:tcPr>
            <w:tcW w:w="1139"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C70BBD" w:rsidRPr="00C70BBD" w:rsidRDefault="00C70BBD" w:rsidP="00C70BBD">
            <w:pPr>
              <w:spacing w:after="24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 f. Keberadaan dan komprehensiveness dokumen yang mengatur mekanisme penanganan pengaduan dalam konflik terkait dengan kegiatan REDD+</w:t>
            </w:r>
            <w:r w:rsidRPr="00C70BBD">
              <w:rPr>
                <w:rFonts w:ascii="Times New Roman" w:eastAsia="Times New Roman" w:hAnsi="Times New Roman" w:cs="Times New Roman"/>
                <w:b/>
                <w:bCs/>
                <w:color w:val="000000"/>
                <w:sz w:val="20"/>
                <w:szCs w:val="20"/>
                <w:lang w:eastAsia="id-ID"/>
              </w:rPr>
              <w:br/>
              <w:t xml:space="preserve"> </w:t>
            </w:r>
          </w:p>
        </w:tc>
      </w:tr>
      <w:tr w:rsidR="00C70BBD" w:rsidRPr="00C70BBD" w:rsidTr="00C70BB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b/>
                <w:bCs/>
                <w:color w:val="000000"/>
                <w:sz w:val="20"/>
                <w:szCs w:val="20"/>
                <w:lang w:eastAsia="id-ID"/>
              </w:rPr>
            </w:pPr>
            <w:r w:rsidRPr="00C70BBD">
              <w:rPr>
                <w:rFonts w:ascii="Times New Roman" w:eastAsia="Times New Roman" w:hAnsi="Times New Roman" w:cs="Times New Roman"/>
                <w:b/>
                <w:bCs/>
                <w:color w:val="000000"/>
                <w:sz w:val="20"/>
                <w:szCs w:val="20"/>
                <w:lang w:eastAsia="id-ID"/>
              </w:rPr>
              <w:t>Kategori Data</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AVIf1</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xml:space="preserve">Tidak ada dokumen, mengatur mekanisme pengaduan yang sederhana, memilik tenggat waktu yang jelas serta kejelasan tindakan yang telah diambil. Dokumen tidak didapat harus ada izin </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AVIf2</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Perdasus</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Diatur dalam Pasal 73, Perdasus No. 21 Tahun 2008 Tentang Pengelolaan hutan Berkelanjutan</w:t>
            </w:r>
          </w:p>
        </w:tc>
        <w:tc>
          <w:tcPr>
            <w:tcW w:w="1659"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4</w:t>
            </w:r>
          </w:p>
        </w:tc>
      </w:tr>
      <w:tr w:rsidR="00C70BBD" w:rsidRPr="00C70BBD" w:rsidTr="00C70BBD">
        <w:trPr>
          <w:trHeight w:val="127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AVIf3</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33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mewajibkan mediator yang disediakan untuk memiliki keahlian dan pemahaman tentang isu-isu adat/masyarakat lokal</w:t>
            </w:r>
          </w:p>
        </w:tc>
        <w:tc>
          <w:tcPr>
            <w:tcW w:w="1659"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r w:rsidR="00C70BBD" w:rsidRPr="00C70BBD" w:rsidTr="00C70BBD">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AVIf4</w:t>
            </w:r>
          </w:p>
        </w:tc>
        <w:tc>
          <w:tcPr>
            <w:tcW w:w="2127" w:type="dxa"/>
            <w:tcBorders>
              <w:top w:val="nil"/>
              <w:left w:val="nil"/>
              <w:bottom w:val="single" w:sz="4" w:space="0" w:color="auto"/>
              <w:right w:val="single" w:sz="4" w:space="0" w:color="auto"/>
            </w:tcBorders>
            <w:shd w:val="clear" w:color="auto" w:fill="auto"/>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337"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hideMark/>
          </w:tcPr>
          <w:p w:rsidR="00C70BBD" w:rsidRPr="00C70BBD" w:rsidRDefault="00C70BBD" w:rsidP="00C70BBD">
            <w:pPr>
              <w:spacing w:after="0" w:line="240" w:lineRule="auto"/>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Tidak ada dokumen yang mengatur mekanisme pengawasan eksternal atas kinerja penegak hukum dalam menindaklanjuti pengaduan masyarakat</w:t>
            </w:r>
          </w:p>
        </w:tc>
        <w:tc>
          <w:tcPr>
            <w:tcW w:w="1659" w:type="dxa"/>
            <w:tcBorders>
              <w:top w:val="nil"/>
              <w:left w:val="nil"/>
              <w:bottom w:val="single" w:sz="4" w:space="0" w:color="auto"/>
              <w:right w:val="single" w:sz="4" w:space="0" w:color="auto"/>
            </w:tcBorders>
            <w:shd w:val="clear" w:color="auto" w:fill="auto"/>
            <w:noWrap/>
            <w:vAlign w:val="center"/>
            <w:hideMark/>
          </w:tcPr>
          <w:p w:rsidR="00C70BBD" w:rsidRPr="00C70BBD" w:rsidRDefault="00C70BBD" w:rsidP="00C70BBD">
            <w:pPr>
              <w:spacing w:after="0" w:line="240" w:lineRule="auto"/>
              <w:jc w:val="center"/>
              <w:rPr>
                <w:rFonts w:ascii="Times New Roman" w:eastAsia="Times New Roman" w:hAnsi="Times New Roman" w:cs="Times New Roman"/>
                <w:color w:val="000000"/>
                <w:sz w:val="20"/>
                <w:szCs w:val="20"/>
                <w:lang w:eastAsia="id-ID"/>
              </w:rPr>
            </w:pPr>
            <w:r w:rsidRPr="00C70BBD">
              <w:rPr>
                <w:rFonts w:ascii="Times New Roman" w:eastAsia="Times New Roman" w:hAnsi="Times New Roman" w:cs="Times New Roman"/>
                <w:color w:val="000000"/>
                <w:sz w:val="20"/>
                <w:szCs w:val="20"/>
                <w:lang w:eastAsia="id-ID"/>
              </w:rPr>
              <w:t>1</w:t>
            </w:r>
          </w:p>
        </w:tc>
      </w:tr>
    </w:tbl>
    <w:p w:rsidR="00C70BBD" w:rsidRDefault="00C70BBD"/>
    <w:sectPr w:rsidR="00C70BB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4165D1"/>
    <w:rsid w:val="006E5970"/>
    <w:rsid w:val="00A91768"/>
    <w:rsid w:val="00BB5203"/>
    <w:rsid w:val="00C70BBD"/>
    <w:rsid w:val="00D74DB4"/>
    <w:rsid w:val="00DD1E5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C70B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xl90">
    <w:name w:val="xl90"/>
    <w:basedOn w:val="Normal"/>
    <w:rsid w:val="00C70B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91">
    <w:name w:val="xl91"/>
    <w:basedOn w:val="Normal"/>
    <w:rsid w:val="00C70B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C70B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id-ID"/>
    </w:rPr>
  </w:style>
  <w:style w:type="paragraph" w:customStyle="1" w:styleId="xl93">
    <w:name w:val="xl93"/>
    <w:basedOn w:val="Normal"/>
    <w:rsid w:val="00C70BBD"/>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94">
    <w:name w:val="xl94"/>
    <w:basedOn w:val="Normal"/>
    <w:rsid w:val="00C70B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95">
    <w:name w:val="xl95"/>
    <w:basedOn w:val="Normal"/>
    <w:rsid w:val="00C70B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96">
    <w:name w:val="xl96"/>
    <w:basedOn w:val="Normal"/>
    <w:rsid w:val="00C70BBD"/>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97">
    <w:name w:val="xl97"/>
    <w:basedOn w:val="Normal"/>
    <w:rsid w:val="00C70B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id-ID"/>
    </w:rPr>
  </w:style>
  <w:style w:type="paragraph" w:customStyle="1" w:styleId="xl98">
    <w:name w:val="xl98"/>
    <w:basedOn w:val="Normal"/>
    <w:rsid w:val="00C70BBD"/>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99">
    <w:name w:val="xl99"/>
    <w:basedOn w:val="Normal"/>
    <w:rsid w:val="00C70BB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100">
    <w:name w:val="xl100"/>
    <w:basedOn w:val="Normal"/>
    <w:rsid w:val="00C70B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01">
    <w:name w:val="xl101"/>
    <w:basedOn w:val="Normal"/>
    <w:rsid w:val="00C70BB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102">
    <w:name w:val="xl102"/>
    <w:basedOn w:val="Normal"/>
    <w:rsid w:val="00C70BBD"/>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103">
    <w:name w:val="xl103"/>
    <w:basedOn w:val="Normal"/>
    <w:rsid w:val="00C70B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104">
    <w:name w:val="xl104"/>
    <w:basedOn w:val="Normal"/>
    <w:rsid w:val="00C70B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1610316624">
      <w:bodyDiv w:val="1"/>
      <w:marLeft w:val="0"/>
      <w:marRight w:val="0"/>
      <w:marTop w:val="0"/>
      <w:marBottom w:val="0"/>
      <w:divBdr>
        <w:top w:val="none" w:sz="0" w:space="0" w:color="auto"/>
        <w:left w:val="none" w:sz="0" w:space="0" w:color="auto"/>
        <w:bottom w:val="none" w:sz="0" w:space="0" w:color="auto"/>
        <w:right w:val="none" w:sz="0" w:space="0" w:color="auto"/>
      </w:divBdr>
    </w:div>
    <w:div w:id="187322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4789</Words>
  <Characters>27299</Characters>
  <Application>Microsoft Office Word</Application>
  <DocSecurity>0</DocSecurity>
  <Lines>227</Lines>
  <Paragraphs>64</Paragraphs>
  <ScaleCrop>false</ScaleCrop>
  <Company/>
  <LinksUpToDate>false</LinksUpToDate>
  <CharactersWithSpaces>32024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2012-10-16T09:36:00Z</dcterms:modified>
</cp:coreProperties>
</file>